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64457">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40F730A1">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甘肃省敦煌种业集团股份有限公司玉米种子分公司肃州区境内物资运输项目</w:t>
      </w:r>
    </w:p>
    <w:p w14:paraId="7FDF0B78">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DHZY-YM（2026）039号</w:t>
      </w:r>
    </w:p>
    <w:p w14:paraId="7D838F5D">
      <w:pPr>
        <w:spacing w:line="560" w:lineRule="exact"/>
        <w:ind w:firstLine="640" w:firstLineChars="200"/>
        <w:rPr>
          <w:rFonts w:ascii="仿宋_GB2312" w:hAnsi="仿宋_GB2312" w:eastAsia="仿宋_GB2312" w:cs="仿宋_GB2312"/>
          <w:sz w:val="28"/>
          <w:szCs w:val="28"/>
        </w:rPr>
      </w:pPr>
      <w:r>
        <w:rPr>
          <w:rFonts w:hint="eastAsia" w:ascii="黑体" w:hAnsi="黑体" w:eastAsia="黑体" w:cs="黑体"/>
          <w:sz w:val="32"/>
          <w:szCs w:val="32"/>
        </w:rPr>
        <w:t>三、分项报价明细表：</w:t>
      </w:r>
      <w:r>
        <w:rPr>
          <w:rFonts w:hint="eastAsia" w:ascii="仿宋_GB2312" w:hAnsi="仿宋_GB2312" w:eastAsia="仿宋_GB2312" w:cs="仿宋_GB2312"/>
          <w:sz w:val="28"/>
          <w:szCs w:val="28"/>
        </w:rPr>
        <w:t>（单价报价，单位：元）</w:t>
      </w:r>
    </w:p>
    <w:tbl>
      <w:tblPr>
        <w:tblStyle w:val="4"/>
        <w:tblW w:w="8696" w:type="dxa"/>
        <w:tblInd w:w="250" w:type="dxa"/>
        <w:tblLayout w:type="autofit"/>
        <w:tblCellMar>
          <w:top w:w="0" w:type="dxa"/>
          <w:left w:w="108" w:type="dxa"/>
          <w:bottom w:w="0" w:type="dxa"/>
          <w:right w:w="108" w:type="dxa"/>
        </w:tblCellMar>
      </w:tblPr>
      <w:tblGrid>
        <w:gridCol w:w="521"/>
        <w:gridCol w:w="2031"/>
        <w:gridCol w:w="1701"/>
        <w:gridCol w:w="1417"/>
        <w:gridCol w:w="1559"/>
        <w:gridCol w:w="1467"/>
      </w:tblGrid>
      <w:tr w14:paraId="23D248CE">
        <w:tblPrEx>
          <w:tblCellMar>
            <w:top w:w="0" w:type="dxa"/>
            <w:left w:w="108" w:type="dxa"/>
            <w:bottom w:w="0" w:type="dxa"/>
            <w:right w:w="108" w:type="dxa"/>
          </w:tblCellMar>
        </w:tblPrEx>
        <w:trPr>
          <w:trHeight w:val="614" w:hRule="atLeast"/>
        </w:trPr>
        <w:tc>
          <w:tcPr>
            <w:tcW w:w="521" w:type="dxa"/>
            <w:tcBorders>
              <w:top w:val="single" w:color="auto" w:sz="4" w:space="0"/>
              <w:left w:val="single" w:color="auto" w:sz="4" w:space="0"/>
              <w:bottom w:val="single" w:color="000000" w:sz="4" w:space="0"/>
              <w:right w:val="single" w:color="auto" w:sz="4" w:space="0"/>
            </w:tcBorders>
            <w:shd w:val="clear" w:color="000000" w:fill="FFFFFF"/>
            <w:vAlign w:val="center"/>
          </w:tcPr>
          <w:p w14:paraId="5E87DD63">
            <w:pPr>
              <w:widowControl/>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031" w:type="dxa"/>
            <w:tcBorders>
              <w:top w:val="single" w:color="auto" w:sz="4" w:space="0"/>
              <w:left w:val="single" w:color="auto" w:sz="4" w:space="0"/>
              <w:bottom w:val="single" w:color="000000" w:sz="4" w:space="0"/>
              <w:right w:val="single" w:color="auto" w:sz="4" w:space="0"/>
            </w:tcBorders>
            <w:shd w:val="clear" w:color="000000" w:fill="FFFFFF"/>
            <w:vAlign w:val="center"/>
          </w:tcPr>
          <w:p w14:paraId="46A61070">
            <w:pPr>
              <w:widowControl/>
              <w:jc w:val="center"/>
              <w:rPr>
                <w:rFonts w:ascii="宋体" w:hAnsi="宋体" w:cs="宋体"/>
                <w:color w:val="000000"/>
                <w:kern w:val="0"/>
                <w:sz w:val="18"/>
                <w:szCs w:val="18"/>
              </w:rPr>
            </w:pPr>
            <w:r>
              <w:rPr>
                <w:rFonts w:hint="eastAsia" w:ascii="宋体" w:hAnsi="宋体" w:cs="宋体"/>
                <w:color w:val="000000"/>
                <w:kern w:val="0"/>
                <w:sz w:val="18"/>
                <w:szCs w:val="18"/>
              </w:rPr>
              <w:t>车辆要求</w:t>
            </w:r>
          </w:p>
        </w:tc>
        <w:tc>
          <w:tcPr>
            <w:tcW w:w="1701" w:type="dxa"/>
            <w:tcBorders>
              <w:top w:val="single" w:color="auto" w:sz="4" w:space="0"/>
              <w:left w:val="single" w:color="auto" w:sz="4" w:space="0"/>
              <w:bottom w:val="single" w:color="000000" w:sz="4" w:space="0"/>
              <w:right w:val="single" w:color="auto" w:sz="4" w:space="0"/>
            </w:tcBorders>
            <w:shd w:val="clear" w:color="000000" w:fill="FFFFFF"/>
            <w:vAlign w:val="center"/>
          </w:tcPr>
          <w:p w14:paraId="1323CB67">
            <w:pPr>
              <w:widowControl/>
              <w:jc w:val="center"/>
              <w:rPr>
                <w:rFonts w:ascii="宋体" w:hAnsi="宋体" w:cs="宋体"/>
                <w:color w:val="000000"/>
                <w:kern w:val="0"/>
                <w:sz w:val="18"/>
                <w:szCs w:val="18"/>
              </w:rPr>
            </w:pPr>
            <w:r>
              <w:rPr>
                <w:rFonts w:hint="eastAsia" w:ascii="宋体" w:hAnsi="宋体" w:cs="宋体"/>
                <w:color w:val="000000"/>
                <w:kern w:val="0"/>
                <w:sz w:val="18"/>
                <w:szCs w:val="18"/>
              </w:rPr>
              <w:t>运输路线</w:t>
            </w:r>
          </w:p>
        </w:tc>
        <w:tc>
          <w:tcPr>
            <w:tcW w:w="1417" w:type="dxa"/>
            <w:tcBorders>
              <w:top w:val="single" w:color="auto" w:sz="4" w:space="0"/>
              <w:left w:val="single" w:color="auto" w:sz="4" w:space="0"/>
              <w:bottom w:val="single" w:color="000000" w:sz="4" w:space="0"/>
              <w:right w:val="single" w:color="auto" w:sz="4" w:space="0"/>
            </w:tcBorders>
            <w:shd w:val="clear" w:color="000000" w:fill="FFFFFF"/>
            <w:vAlign w:val="center"/>
          </w:tcPr>
          <w:p w14:paraId="34680CAF">
            <w:pPr>
              <w:widowControl/>
              <w:jc w:val="center"/>
              <w:rPr>
                <w:rFonts w:ascii="宋体" w:hAnsi="宋体" w:cs="宋体"/>
                <w:color w:val="000000"/>
                <w:kern w:val="0"/>
                <w:sz w:val="18"/>
                <w:szCs w:val="18"/>
              </w:rPr>
            </w:pPr>
            <w:r>
              <w:rPr>
                <w:rFonts w:hint="eastAsia" w:ascii="宋体" w:hAnsi="宋体" w:cs="宋体"/>
                <w:color w:val="000000"/>
                <w:kern w:val="0"/>
                <w:sz w:val="18"/>
                <w:szCs w:val="18"/>
              </w:rPr>
              <w:t>拉运物</w:t>
            </w:r>
          </w:p>
          <w:p w14:paraId="12438E19">
            <w:pPr>
              <w:widowControl/>
              <w:jc w:val="center"/>
              <w:rPr>
                <w:rFonts w:ascii="宋体" w:hAnsi="宋体" w:cs="宋体"/>
                <w:color w:val="000000"/>
                <w:kern w:val="0"/>
                <w:sz w:val="18"/>
                <w:szCs w:val="18"/>
              </w:rPr>
            </w:pPr>
            <w:r>
              <w:rPr>
                <w:rFonts w:hint="eastAsia" w:ascii="宋体" w:hAnsi="宋体" w:cs="宋体"/>
                <w:color w:val="000000"/>
                <w:kern w:val="0"/>
                <w:sz w:val="18"/>
                <w:szCs w:val="18"/>
              </w:rPr>
              <w:t>资</w:t>
            </w:r>
          </w:p>
        </w:tc>
        <w:tc>
          <w:tcPr>
            <w:tcW w:w="1559" w:type="dxa"/>
            <w:tcBorders>
              <w:top w:val="single" w:color="auto" w:sz="4" w:space="0"/>
              <w:left w:val="single" w:color="auto" w:sz="4" w:space="0"/>
              <w:bottom w:val="single" w:color="auto" w:sz="4" w:space="0"/>
              <w:right w:val="single" w:color="auto" w:sz="4" w:space="0"/>
            </w:tcBorders>
            <w:shd w:val="clear" w:color="000000" w:fill="FFFFFF"/>
          </w:tcPr>
          <w:p w14:paraId="658546B3">
            <w:pPr>
              <w:widowControl/>
              <w:jc w:val="center"/>
              <w:rPr>
                <w:rFonts w:ascii="宋体" w:hAnsi="宋体" w:cs="宋体"/>
                <w:color w:val="000000"/>
                <w:kern w:val="0"/>
                <w:sz w:val="20"/>
                <w:szCs w:val="20"/>
              </w:rPr>
            </w:pPr>
            <w:r>
              <w:rPr>
                <w:rFonts w:hint="eastAsia" w:ascii="宋体" w:hAnsi="宋体" w:cs="宋体"/>
                <w:color w:val="000000"/>
                <w:kern w:val="0"/>
                <w:sz w:val="20"/>
                <w:szCs w:val="20"/>
              </w:rPr>
              <w:t>单价（元/趟）</w:t>
            </w:r>
          </w:p>
        </w:tc>
        <w:tc>
          <w:tcPr>
            <w:tcW w:w="1467" w:type="dxa"/>
            <w:tcBorders>
              <w:top w:val="single" w:color="auto" w:sz="4" w:space="0"/>
              <w:left w:val="single" w:color="auto" w:sz="4" w:space="0"/>
              <w:bottom w:val="single" w:color="auto" w:sz="4" w:space="0"/>
              <w:right w:val="single" w:color="auto" w:sz="4" w:space="0"/>
            </w:tcBorders>
            <w:shd w:val="clear" w:color="000000" w:fill="FFFFFF"/>
            <w:vAlign w:val="center"/>
          </w:tcPr>
          <w:p w14:paraId="755AD544">
            <w:pPr>
              <w:widowControl/>
              <w:jc w:val="center"/>
              <w:rPr>
                <w:rFonts w:ascii="宋体" w:hAnsi="宋体" w:cs="宋体"/>
                <w:color w:val="000000"/>
                <w:kern w:val="0"/>
                <w:sz w:val="20"/>
                <w:szCs w:val="20"/>
              </w:rPr>
            </w:pPr>
            <w:r>
              <w:rPr>
                <w:rFonts w:hint="eastAsia" w:ascii="宋体" w:hAnsi="宋体" w:cs="宋体"/>
                <w:color w:val="000000"/>
                <w:kern w:val="0"/>
                <w:sz w:val="20"/>
                <w:szCs w:val="20"/>
              </w:rPr>
              <w:t>备注</w:t>
            </w:r>
          </w:p>
        </w:tc>
      </w:tr>
      <w:tr w14:paraId="3EDD08FA">
        <w:tblPrEx>
          <w:tblCellMar>
            <w:top w:w="0" w:type="dxa"/>
            <w:left w:w="108" w:type="dxa"/>
            <w:bottom w:w="0" w:type="dxa"/>
            <w:right w:w="108" w:type="dxa"/>
          </w:tblCellMar>
        </w:tblPrEx>
        <w:trPr>
          <w:trHeight w:val="581" w:hRule="atLeast"/>
        </w:trPr>
        <w:tc>
          <w:tcPr>
            <w:tcW w:w="521" w:type="dxa"/>
            <w:tcBorders>
              <w:top w:val="nil"/>
              <w:left w:val="single" w:color="auto" w:sz="4" w:space="0"/>
              <w:bottom w:val="single" w:color="auto" w:sz="4" w:space="0"/>
              <w:right w:val="single" w:color="auto" w:sz="4" w:space="0"/>
            </w:tcBorders>
            <w:shd w:val="clear" w:color="000000" w:fill="FFFFFF"/>
            <w:vAlign w:val="center"/>
          </w:tcPr>
          <w:p w14:paraId="1EB3A2AD">
            <w:pPr>
              <w:widowControl/>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2031" w:type="dxa"/>
            <w:tcBorders>
              <w:top w:val="nil"/>
              <w:left w:val="nil"/>
              <w:bottom w:val="single" w:color="auto" w:sz="4" w:space="0"/>
              <w:right w:val="single" w:color="auto" w:sz="4" w:space="0"/>
            </w:tcBorders>
            <w:shd w:val="clear" w:color="000000" w:fill="FFFFFF"/>
            <w:vAlign w:val="center"/>
          </w:tcPr>
          <w:p w14:paraId="500AF18F">
            <w:pPr>
              <w:widowControl/>
              <w:jc w:val="center"/>
              <w:rPr>
                <w:rFonts w:ascii="宋体" w:hAnsi="宋体" w:cs="宋体"/>
                <w:kern w:val="0"/>
                <w:sz w:val="18"/>
                <w:szCs w:val="18"/>
              </w:rPr>
            </w:pPr>
            <w:r>
              <w:rPr>
                <w:rFonts w:hint="eastAsia" w:ascii="宋体" w:hAnsi="宋体" w:cs="宋体"/>
                <w:kern w:val="0"/>
                <w:sz w:val="18"/>
                <w:szCs w:val="18"/>
              </w:rPr>
              <w:t>货箱9.6米低栏板板车</w:t>
            </w:r>
          </w:p>
        </w:tc>
        <w:tc>
          <w:tcPr>
            <w:tcW w:w="1701" w:type="dxa"/>
            <w:tcBorders>
              <w:top w:val="nil"/>
              <w:left w:val="nil"/>
              <w:bottom w:val="single" w:color="auto" w:sz="4" w:space="0"/>
              <w:right w:val="single" w:color="auto" w:sz="4" w:space="0"/>
            </w:tcBorders>
            <w:shd w:val="clear" w:color="000000" w:fill="FFFFFF"/>
            <w:vAlign w:val="center"/>
          </w:tcPr>
          <w:p w14:paraId="0DC24686">
            <w:pPr>
              <w:widowControl/>
              <w:jc w:val="center"/>
              <w:rPr>
                <w:rFonts w:ascii="宋体" w:hAnsi="宋体" w:cs="宋体"/>
                <w:color w:val="000000"/>
                <w:kern w:val="0"/>
                <w:sz w:val="18"/>
                <w:szCs w:val="18"/>
              </w:rPr>
            </w:pPr>
            <w:r>
              <w:rPr>
                <w:rFonts w:hint="eastAsia" w:ascii="宋体" w:hAnsi="宋体" w:cs="宋体"/>
                <w:color w:val="000000"/>
                <w:kern w:val="0"/>
                <w:sz w:val="18"/>
                <w:szCs w:val="18"/>
              </w:rPr>
              <w:t>加工中心-沙河晒场</w:t>
            </w:r>
          </w:p>
        </w:tc>
        <w:tc>
          <w:tcPr>
            <w:tcW w:w="1417" w:type="dxa"/>
            <w:vMerge w:val="restart"/>
            <w:tcBorders>
              <w:top w:val="single" w:color="000000" w:sz="4" w:space="0"/>
              <w:left w:val="nil"/>
              <w:bottom w:val="single" w:color="auto" w:sz="4" w:space="0"/>
              <w:right w:val="single" w:color="auto" w:sz="4" w:space="0"/>
            </w:tcBorders>
            <w:shd w:val="clear" w:color="000000" w:fill="FFFFFF"/>
            <w:vAlign w:val="center"/>
          </w:tcPr>
          <w:p w14:paraId="2D659C3F">
            <w:pPr>
              <w:jc w:val="center"/>
              <w:rPr>
                <w:rFonts w:ascii="宋体" w:hAnsi="宋体" w:cs="宋体"/>
                <w:color w:val="000000"/>
                <w:kern w:val="0"/>
                <w:sz w:val="18"/>
                <w:szCs w:val="18"/>
              </w:rPr>
            </w:pPr>
            <w:r>
              <w:rPr>
                <w:rFonts w:hint="eastAsia" w:ascii="宋体" w:hAnsi="宋体" w:cs="宋体"/>
                <w:color w:val="000000"/>
                <w:kern w:val="0"/>
                <w:sz w:val="18"/>
                <w:szCs w:val="18"/>
              </w:rPr>
              <w:t>遮阴网、彩条布等物资</w:t>
            </w:r>
          </w:p>
        </w:tc>
        <w:tc>
          <w:tcPr>
            <w:tcW w:w="1559" w:type="dxa"/>
            <w:tcBorders>
              <w:top w:val="single" w:color="auto" w:sz="4" w:space="0"/>
              <w:left w:val="single" w:color="auto" w:sz="4" w:space="0"/>
              <w:bottom w:val="single" w:color="auto" w:sz="4" w:space="0"/>
              <w:right w:val="single" w:color="auto" w:sz="4" w:space="0"/>
            </w:tcBorders>
            <w:shd w:val="clear" w:color="000000" w:fill="FFFFFF"/>
          </w:tcPr>
          <w:p w14:paraId="15C55BC5">
            <w:pPr>
              <w:widowControl/>
              <w:jc w:val="center"/>
              <w:rPr>
                <w:rFonts w:ascii="宋体" w:hAnsi="宋体" w:cs="宋体"/>
                <w:color w:val="000000"/>
                <w:kern w:val="0"/>
                <w:sz w:val="18"/>
                <w:szCs w:val="18"/>
              </w:rPr>
            </w:pPr>
          </w:p>
        </w:tc>
        <w:tc>
          <w:tcPr>
            <w:tcW w:w="1467" w:type="dxa"/>
            <w:tcBorders>
              <w:top w:val="single" w:color="auto" w:sz="4" w:space="0"/>
              <w:left w:val="single" w:color="auto" w:sz="4" w:space="0"/>
              <w:bottom w:val="single" w:color="auto" w:sz="4" w:space="0"/>
              <w:right w:val="single" w:color="auto" w:sz="4" w:space="0"/>
            </w:tcBorders>
            <w:shd w:val="clear" w:color="000000" w:fill="FFFFFF"/>
            <w:vAlign w:val="center"/>
          </w:tcPr>
          <w:p w14:paraId="02FE001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p w14:paraId="1C56E1E1">
            <w:pPr>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4B39E35F">
        <w:tblPrEx>
          <w:tblCellMar>
            <w:top w:w="0" w:type="dxa"/>
            <w:left w:w="108" w:type="dxa"/>
            <w:bottom w:w="0" w:type="dxa"/>
            <w:right w:w="108" w:type="dxa"/>
          </w:tblCellMar>
        </w:tblPrEx>
        <w:trPr>
          <w:trHeight w:val="554" w:hRule="atLeast"/>
        </w:trPr>
        <w:tc>
          <w:tcPr>
            <w:tcW w:w="521" w:type="dxa"/>
            <w:tcBorders>
              <w:top w:val="nil"/>
              <w:left w:val="single" w:color="auto" w:sz="4" w:space="0"/>
              <w:bottom w:val="single" w:color="auto" w:sz="4" w:space="0"/>
              <w:right w:val="single" w:color="auto" w:sz="4" w:space="0"/>
            </w:tcBorders>
            <w:shd w:val="clear" w:color="000000" w:fill="FFFFFF"/>
            <w:vAlign w:val="center"/>
          </w:tcPr>
          <w:p w14:paraId="6C1A573E">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2 </w:t>
            </w:r>
          </w:p>
        </w:tc>
        <w:tc>
          <w:tcPr>
            <w:tcW w:w="2031" w:type="dxa"/>
            <w:tcBorders>
              <w:top w:val="nil"/>
              <w:left w:val="nil"/>
              <w:bottom w:val="single" w:color="auto" w:sz="4" w:space="0"/>
              <w:right w:val="single" w:color="auto" w:sz="4" w:space="0"/>
            </w:tcBorders>
            <w:shd w:val="clear" w:color="000000" w:fill="FFFFFF"/>
            <w:vAlign w:val="center"/>
          </w:tcPr>
          <w:p w14:paraId="6B1AE745">
            <w:pPr>
              <w:widowControl/>
              <w:jc w:val="center"/>
              <w:rPr>
                <w:rFonts w:ascii="宋体" w:hAnsi="宋体" w:cs="宋体"/>
                <w:kern w:val="0"/>
                <w:sz w:val="18"/>
                <w:szCs w:val="18"/>
              </w:rPr>
            </w:pPr>
            <w:r>
              <w:rPr>
                <w:rFonts w:hint="eastAsia" w:ascii="宋体" w:hAnsi="宋体" w:cs="宋体"/>
                <w:kern w:val="0"/>
                <w:sz w:val="18"/>
                <w:szCs w:val="18"/>
              </w:rPr>
              <w:t>货箱4.2米低栏板车</w:t>
            </w:r>
          </w:p>
        </w:tc>
        <w:tc>
          <w:tcPr>
            <w:tcW w:w="1701" w:type="dxa"/>
            <w:tcBorders>
              <w:top w:val="nil"/>
              <w:left w:val="nil"/>
              <w:bottom w:val="single" w:color="auto" w:sz="4" w:space="0"/>
              <w:right w:val="single" w:color="auto" w:sz="4" w:space="0"/>
            </w:tcBorders>
            <w:shd w:val="clear" w:color="000000" w:fill="FFFFFF"/>
            <w:vAlign w:val="center"/>
          </w:tcPr>
          <w:p w14:paraId="1E27D676">
            <w:pPr>
              <w:widowControl/>
              <w:jc w:val="center"/>
              <w:rPr>
                <w:rFonts w:ascii="宋体" w:hAnsi="宋体" w:cs="宋体"/>
                <w:color w:val="000000"/>
                <w:kern w:val="0"/>
                <w:sz w:val="18"/>
                <w:szCs w:val="18"/>
              </w:rPr>
            </w:pPr>
            <w:r>
              <w:rPr>
                <w:rFonts w:hint="eastAsia" w:ascii="宋体" w:hAnsi="宋体" w:cs="宋体"/>
                <w:color w:val="000000"/>
                <w:kern w:val="0"/>
                <w:sz w:val="18"/>
                <w:szCs w:val="18"/>
              </w:rPr>
              <w:t>加工中心-沙河晒场</w:t>
            </w:r>
          </w:p>
        </w:tc>
        <w:tc>
          <w:tcPr>
            <w:tcW w:w="1417" w:type="dxa"/>
            <w:vMerge w:val="continue"/>
            <w:tcBorders>
              <w:left w:val="nil"/>
              <w:bottom w:val="single" w:color="auto" w:sz="4" w:space="0"/>
              <w:right w:val="single" w:color="auto" w:sz="4" w:space="0"/>
            </w:tcBorders>
            <w:shd w:val="clear" w:color="000000" w:fill="FFFFFF"/>
            <w:vAlign w:val="center"/>
          </w:tcPr>
          <w:p w14:paraId="204BE6CE">
            <w:pPr>
              <w:jc w:val="center"/>
              <w:rPr>
                <w:rFonts w:ascii="宋体" w:hAnsi="宋体" w:cs="宋体"/>
                <w:color w:val="000000"/>
                <w:kern w:val="0"/>
                <w:sz w:val="18"/>
                <w:szCs w:val="18"/>
              </w:rPr>
            </w:pPr>
          </w:p>
        </w:tc>
        <w:tc>
          <w:tcPr>
            <w:tcW w:w="1559" w:type="dxa"/>
            <w:tcBorders>
              <w:top w:val="single" w:color="auto" w:sz="4" w:space="0"/>
              <w:left w:val="single" w:color="auto" w:sz="4" w:space="0"/>
              <w:bottom w:val="single" w:color="auto" w:sz="4" w:space="0"/>
              <w:right w:val="single" w:color="auto" w:sz="4" w:space="0"/>
            </w:tcBorders>
            <w:shd w:val="clear" w:color="000000" w:fill="FFFFFF"/>
          </w:tcPr>
          <w:p w14:paraId="230D2D96">
            <w:pPr>
              <w:widowControl/>
              <w:jc w:val="center"/>
              <w:rPr>
                <w:rFonts w:ascii="宋体" w:hAnsi="宋体" w:cs="宋体"/>
                <w:color w:val="000000"/>
                <w:kern w:val="0"/>
                <w:sz w:val="18"/>
                <w:szCs w:val="18"/>
              </w:rPr>
            </w:pPr>
          </w:p>
        </w:tc>
        <w:tc>
          <w:tcPr>
            <w:tcW w:w="1467" w:type="dxa"/>
            <w:tcBorders>
              <w:top w:val="single" w:color="auto" w:sz="4" w:space="0"/>
              <w:left w:val="single" w:color="auto" w:sz="4" w:space="0"/>
              <w:bottom w:val="single" w:color="auto" w:sz="4" w:space="0"/>
              <w:right w:val="single" w:color="auto" w:sz="4" w:space="0"/>
            </w:tcBorders>
            <w:shd w:val="clear" w:color="000000" w:fill="FFFFFF"/>
            <w:vAlign w:val="center"/>
          </w:tcPr>
          <w:p w14:paraId="02FE65EA">
            <w:pPr>
              <w:widowControl/>
              <w:jc w:val="center"/>
              <w:rPr>
                <w:rFonts w:ascii="宋体" w:hAnsi="宋体" w:cs="宋体"/>
                <w:color w:val="000000"/>
                <w:kern w:val="0"/>
                <w:sz w:val="18"/>
                <w:szCs w:val="18"/>
              </w:rPr>
            </w:pPr>
          </w:p>
        </w:tc>
      </w:tr>
    </w:tbl>
    <w:p w14:paraId="4E871989">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2E317F3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1.本报价为固定单价，在合同有效期内保持不变，不受市场价格波动影响。</w:t>
      </w:r>
    </w:p>
    <w:p w14:paraId="6C5F8F5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2.上述单价已包含完成本项目所有服务内容的全部费用，包括但不限于运输费、装卸费、税费及合同包含的所有风险、责任等，采购人无需再支付任何其他费用。</w:t>
      </w:r>
    </w:p>
    <w:p w14:paraId="00BA412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3.最终结算金额=实际拉运次（趟）数×对应单价。</w:t>
      </w:r>
    </w:p>
    <w:p w14:paraId="388E8A3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4.报价有效期：</w:t>
      </w:r>
      <w:r>
        <w:rPr>
          <w:rFonts w:hint="eastAsia" w:ascii="仿宋_GB2312" w:hAnsi="仿宋_GB2312" w:eastAsia="仿宋_GB2312" w:cs="仿宋_GB2312"/>
          <w:w w:val="90"/>
          <w:sz w:val="32"/>
          <w:szCs w:val="32"/>
        </w:rPr>
        <w:t>自报价文件递交截止之日起不少于60天。</w:t>
      </w:r>
    </w:p>
    <w:p w14:paraId="0932F316">
      <w:pPr>
        <w:spacing w:line="560" w:lineRule="exact"/>
        <w:ind w:firstLine="640" w:firstLineChars="200"/>
        <w:rPr>
          <w:rFonts w:ascii="仿宋_GB2312" w:hAnsi="仿宋_GB2312" w:eastAsia="仿宋_GB2312" w:cs="仿宋_GB2312"/>
          <w:sz w:val="32"/>
          <w:szCs w:val="32"/>
        </w:rPr>
      </w:pPr>
    </w:p>
    <w:p w14:paraId="05235279">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供应商名称（盖章）： </w:t>
      </w:r>
    </w:p>
    <w:p w14:paraId="266DA3E7">
      <w:pPr>
        <w:spacing w:line="560" w:lineRule="exact"/>
        <w:ind w:firstLine="5120" w:firstLineChars="1600"/>
        <w:rPr>
          <w:rFonts w:ascii="仿宋_GB2312" w:hAnsi="仿宋_GB2312" w:eastAsia="仿宋_GB2312" w:cs="仿宋_GB2312"/>
          <w:sz w:val="32"/>
          <w:szCs w:val="32"/>
        </w:rPr>
      </w:pPr>
      <w:r>
        <w:rPr>
          <w:rFonts w:hint="eastAsia" w:ascii="仿宋_GB2312" w:hAnsi="仿宋_GB2312" w:eastAsia="仿宋_GB2312" w:cs="仿宋_GB2312"/>
          <w:sz w:val="32"/>
          <w:szCs w:val="32"/>
        </w:rPr>
        <w:t>报价人（签字）：</w:t>
      </w:r>
    </w:p>
    <w:p w14:paraId="594AA886">
      <w:pPr>
        <w:spacing w:line="560" w:lineRule="exact"/>
        <w:ind w:firstLine="5120" w:firstLineChars="1600"/>
        <w:rPr>
          <w:rFonts w:ascii="仿宋_GB2312" w:hAnsi="仿宋_GB2312" w:eastAsia="仿宋_GB2312" w:cs="仿宋_GB2312"/>
          <w:sz w:val="32"/>
          <w:szCs w:val="32"/>
        </w:rPr>
      </w:pPr>
      <w:r>
        <w:rPr>
          <w:rFonts w:hint="eastAsia" w:ascii="仿宋_GB2312" w:hAnsi="仿宋_GB2312" w:eastAsia="仿宋_GB2312" w:cs="仿宋_GB2312"/>
          <w:sz w:val="32"/>
          <w:szCs w:val="32"/>
        </w:rPr>
        <w:t>联系电话：</w:t>
      </w:r>
    </w:p>
    <w:p w14:paraId="15D723E4">
      <w:pPr>
        <w:wordWrap/>
        <w:ind w:firstLine="4160" w:firstLineChars="1300"/>
        <w:jc w:val="right"/>
        <w:rPr>
          <w:rFonts w:hint="default" w:eastAsia="仿宋_GB2312"/>
          <w:lang w:val="en-US" w:eastAsia="zh-CN"/>
        </w:rPr>
      </w:pPr>
      <w:r>
        <w:rPr>
          <w:rFonts w:hint="eastAsia" w:ascii="仿宋_GB2312" w:hAnsi="仿宋_GB2312" w:eastAsia="仿宋_GB2312" w:cs="仿宋_GB2312"/>
          <w:sz w:val="32"/>
          <w:szCs w:val="32"/>
        </w:rPr>
        <w:t>年  月  日</w:t>
      </w:r>
      <w:bookmarkStart w:id="0" w:name="_GoBack"/>
      <w:bookmarkEnd w:id="0"/>
    </w:p>
    <w:sectPr>
      <w:footerReference r:id="rId3" w:type="default"/>
      <w:pgSz w:w="11906" w:h="16838"/>
      <w:pgMar w:top="1440" w:right="1800" w:bottom="1440" w:left="1800"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A33AC8-9283-4441-AB7E-62B98567BD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694E310-0AF3-4265-90CF-A1CFE6B5E397}"/>
  </w:font>
  <w:font w:name="仿宋_GB2312">
    <w:panose1 w:val="02010609030101010101"/>
    <w:charset w:val="86"/>
    <w:family w:val="auto"/>
    <w:pitch w:val="default"/>
    <w:sig w:usb0="00000001" w:usb1="080E0000" w:usb2="00000000" w:usb3="00000000" w:csb0="00040000" w:csb1="00000000"/>
    <w:embedRegular r:id="rId3" w:fontKey="{B253A0B7-70E4-4279-B320-006CD041DA11}"/>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00000001" w:usb1="080E0000" w:usb2="00000000" w:usb3="00000000" w:csb0="00040000" w:csb1="00000000"/>
    <w:embedRegular r:id="rId4" w:fontKey="{C103728C-9D8E-4F81-8278-4B157170997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4C29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2CFA4">
                          <w:pPr>
                            <w:pStyle w:val="3"/>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B82CFA4">
                    <w:pPr>
                      <w:pStyle w:val="3"/>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1AD5"/>
    <w:rsid w:val="01A92273"/>
    <w:rsid w:val="01E81556"/>
    <w:rsid w:val="02934116"/>
    <w:rsid w:val="02A17AD2"/>
    <w:rsid w:val="02BD1614"/>
    <w:rsid w:val="03722359"/>
    <w:rsid w:val="057D2008"/>
    <w:rsid w:val="06B05618"/>
    <w:rsid w:val="072726D2"/>
    <w:rsid w:val="086B17AD"/>
    <w:rsid w:val="08CB0729"/>
    <w:rsid w:val="09A17C56"/>
    <w:rsid w:val="0A204D73"/>
    <w:rsid w:val="0CA777A2"/>
    <w:rsid w:val="0D9324C1"/>
    <w:rsid w:val="0D976644"/>
    <w:rsid w:val="0E2E2045"/>
    <w:rsid w:val="10270A57"/>
    <w:rsid w:val="13A36B8D"/>
    <w:rsid w:val="150E5D35"/>
    <w:rsid w:val="169506C9"/>
    <w:rsid w:val="16E02C14"/>
    <w:rsid w:val="180D792A"/>
    <w:rsid w:val="1CF73540"/>
    <w:rsid w:val="1FBF193A"/>
    <w:rsid w:val="20996068"/>
    <w:rsid w:val="224A3A93"/>
    <w:rsid w:val="225A1B9B"/>
    <w:rsid w:val="231B23CF"/>
    <w:rsid w:val="23C329F9"/>
    <w:rsid w:val="24C73FD7"/>
    <w:rsid w:val="25ED0053"/>
    <w:rsid w:val="268A3AF4"/>
    <w:rsid w:val="27794609"/>
    <w:rsid w:val="28C876FF"/>
    <w:rsid w:val="2BBB474F"/>
    <w:rsid w:val="2C1722F4"/>
    <w:rsid w:val="2E7F3812"/>
    <w:rsid w:val="311961A0"/>
    <w:rsid w:val="31372F00"/>
    <w:rsid w:val="37711474"/>
    <w:rsid w:val="380F021F"/>
    <w:rsid w:val="39271121"/>
    <w:rsid w:val="39CB28A3"/>
    <w:rsid w:val="3A0842CD"/>
    <w:rsid w:val="3A6D098A"/>
    <w:rsid w:val="3B47390A"/>
    <w:rsid w:val="3C07719C"/>
    <w:rsid w:val="3C37572C"/>
    <w:rsid w:val="3E663927"/>
    <w:rsid w:val="3F774392"/>
    <w:rsid w:val="3FC953F1"/>
    <w:rsid w:val="40204742"/>
    <w:rsid w:val="41502448"/>
    <w:rsid w:val="41C757A4"/>
    <w:rsid w:val="41D84E98"/>
    <w:rsid w:val="42831DFC"/>
    <w:rsid w:val="43F66B5C"/>
    <w:rsid w:val="45B54861"/>
    <w:rsid w:val="46665413"/>
    <w:rsid w:val="470B1C8F"/>
    <w:rsid w:val="479A5546"/>
    <w:rsid w:val="488038F0"/>
    <w:rsid w:val="4A4F5AB3"/>
    <w:rsid w:val="4B7A5B61"/>
    <w:rsid w:val="4EDF659D"/>
    <w:rsid w:val="4F1D5E05"/>
    <w:rsid w:val="50483B38"/>
    <w:rsid w:val="520E7928"/>
    <w:rsid w:val="524D1DEA"/>
    <w:rsid w:val="54605393"/>
    <w:rsid w:val="549E05E7"/>
    <w:rsid w:val="56107598"/>
    <w:rsid w:val="56F31363"/>
    <w:rsid w:val="59750B76"/>
    <w:rsid w:val="59B5351C"/>
    <w:rsid w:val="5F62256F"/>
    <w:rsid w:val="5FC34763"/>
    <w:rsid w:val="60340051"/>
    <w:rsid w:val="605D2AD0"/>
    <w:rsid w:val="63693F79"/>
    <w:rsid w:val="63AF4168"/>
    <w:rsid w:val="64193A13"/>
    <w:rsid w:val="64E37B38"/>
    <w:rsid w:val="66D56FD8"/>
    <w:rsid w:val="66F30F4D"/>
    <w:rsid w:val="677B070D"/>
    <w:rsid w:val="697768A0"/>
    <w:rsid w:val="6A29279B"/>
    <w:rsid w:val="6BD151DE"/>
    <w:rsid w:val="6D6023A7"/>
    <w:rsid w:val="70274BE8"/>
    <w:rsid w:val="70E37CC2"/>
    <w:rsid w:val="71015F7D"/>
    <w:rsid w:val="714F5671"/>
    <w:rsid w:val="74643BE8"/>
    <w:rsid w:val="74D86958"/>
    <w:rsid w:val="7972127D"/>
    <w:rsid w:val="7BC11C74"/>
    <w:rsid w:val="7C640CE3"/>
    <w:rsid w:val="7D1F1F17"/>
    <w:rsid w:val="7DF96A31"/>
    <w:rsid w:val="7E8C45BB"/>
    <w:rsid w:val="7E8D7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paragraph" w:customStyle="1" w:styleId="9">
    <w:name w:val="Default"/>
    <w:qFormat/>
    <w:uiPriority w:val="0"/>
    <w:pPr>
      <w:widowControl w:val="0"/>
      <w:autoSpaceDE w:val="0"/>
      <w:autoSpaceDN w:val="0"/>
      <w:adjustRightInd w:val="0"/>
    </w:pPr>
    <w:rPr>
      <w:rFonts w:ascii="华文中宋" w:hAnsi="Calibri" w:eastAsia="华文中宋" w:cs="华文中宋"/>
      <w:color w:val="000000"/>
      <w:kern w:val="28"/>
      <w:sz w:val="24"/>
      <w:szCs w:val="24"/>
      <w:lang w:val="en-US" w:eastAsia="zh-CN" w:bidi="ar-SA"/>
    </w:rPr>
  </w:style>
  <w:style w:type="character" w:customStyle="1" w:styleId="10">
    <w:name w:val="font21"/>
    <w:basedOn w:val="6"/>
    <w:qFormat/>
    <w:uiPriority w:val="0"/>
    <w:rPr>
      <w:rFonts w:hint="eastAsia" w:ascii="仿宋_GB2312" w:eastAsia="仿宋_GB2312" w:cs="仿宋_GB2312"/>
      <w:b/>
      <w:bCs/>
      <w:color w:val="000000"/>
      <w:sz w:val="36"/>
      <w:szCs w:val="36"/>
      <w:u w:val="none"/>
    </w:rPr>
  </w:style>
  <w:style w:type="character" w:customStyle="1" w:styleId="11">
    <w:name w:val="font91"/>
    <w:basedOn w:val="6"/>
    <w:qFormat/>
    <w:uiPriority w:val="0"/>
    <w:rPr>
      <w:rFonts w:hint="eastAsia" w:ascii="仿宋_GB2312" w:eastAsia="仿宋_GB2312" w:cs="仿宋_GB2312"/>
      <w:b/>
      <w:bCs/>
      <w:color w:val="000000"/>
      <w:sz w:val="24"/>
      <w:szCs w:val="24"/>
      <w:u w:val="none"/>
    </w:rPr>
  </w:style>
  <w:style w:type="paragraph" w:customStyle="1" w:styleId="12">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3">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4">
    <w:name w:val="font111"/>
    <w:basedOn w:val="6"/>
    <w:qFormat/>
    <w:uiPriority w:val="0"/>
    <w:rPr>
      <w:rFonts w:hint="default" w:ascii="仿宋_GB2312" w:eastAsia="仿宋_GB2312" w:cs="仿宋_GB2312"/>
      <w:b/>
      <w:bCs/>
      <w:color w:val="000000"/>
      <w:sz w:val="36"/>
      <w:szCs w:val="36"/>
      <w:u w:val="none"/>
    </w:rPr>
  </w:style>
  <w:style w:type="character" w:customStyle="1" w:styleId="15">
    <w:name w:val="font101"/>
    <w:basedOn w:val="6"/>
    <w:qFormat/>
    <w:uiPriority w:val="0"/>
    <w:rPr>
      <w:rFonts w:hint="default" w:ascii="仿宋_GB2312" w:eastAsia="仿宋_GB2312" w:cs="仿宋_GB2312"/>
      <w:b/>
      <w:bCs/>
      <w:color w:val="000000"/>
      <w:sz w:val="24"/>
      <w:szCs w:val="24"/>
      <w:u w:val="none"/>
    </w:rPr>
  </w:style>
  <w:style w:type="character" w:customStyle="1" w:styleId="16">
    <w:name w:val="font31"/>
    <w:basedOn w:val="6"/>
    <w:qFormat/>
    <w:uiPriority w:val="0"/>
    <w:rPr>
      <w:rFonts w:hint="default" w:ascii="仿宋_GB2312" w:eastAsia="仿宋_GB2312" w:cs="仿宋_GB2312"/>
      <w:color w:val="000000"/>
      <w:sz w:val="21"/>
      <w:szCs w:val="21"/>
      <w:u w:val="none"/>
    </w:rPr>
  </w:style>
  <w:style w:type="character" w:customStyle="1" w:styleId="17">
    <w:name w:val="font81"/>
    <w:basedOn w:val="6"/>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351</Words>
  <Characters>365</Characters>
  <Lines>0</Lines>
  <Paragraphs>0</Paragraphs>
  <TotalTime>0</TotalTime>
  <ScaleCrop>false</ScaleCrop>
  <LinksUpToDate>false</LinksUpToDate>
  <CharactersWithSpaces>411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2026-08-27T07:10:40Z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