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4C2EA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ED07749">
      <w:r>
        <w:rPr>
          <w:rFonts w:hint="eastAsia"/>
        </w:rPr>
        <w:t xml:space="preserve"> </w:t>
      </w:r>
    </w:p>
    <w:p w14:paraId="7F8CFB2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甘肃省敦煌种业集团股份</w:t>
      </w:r>
      <w:r>
        <w:rPr>
          <w:rFonts w:hint="eastAsia" w:ascii="仿宋_GB2312" w:eastAsia="仿宋_GB2312"/>
          <w:sz w:val="32"/>
          <w:szCs w:val="32"/>
        </w:rPr>
        <w:t>有限公司</w:t>
      </w:r>
    </w:p>
    <w:p w14:paraId="64CBE2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2CB43B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0F4986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4360CF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A1CFDB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20BC34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01151BFA"/>
    <w:p w14:paraId="5DA7C11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094075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名称（盖章）</w:t>
      </w:r>
    </w:p>
    <w:p w14:paraId="2301A21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11E58C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FA11125-F5E8-4EB4-8DD3-9736942AE5C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23C2004-AE37-42C6-BB37-657D944DCE6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2B70B13-8CE3-49ED-99ED-823F47E0EB7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247C1A"/>
    <w:rsid w:val="2CBE1C79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2026-06-09T09:15:27Z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