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52F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2D85F3D2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0AD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致：酒泉敦煌种业百佳食品有限公司</w:t>
      </w: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240AC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2.我方承诺报价为固定价格，在合同有效期内保持不变，不受市场价格波动影响；</w:t>
      </w:r>
    </w:p>
    <w:p w14:paraId="357C2B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3.我方承诺严格按照公告及合同要求完成货物供应，如出现违约情形，愿承担相应责任。</w:t>
      </w:r>
    </w:p>
    <w:p w14:paraId="687C0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B0544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B6CB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0684B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63E08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 月    日</w:t>
      </w:r>
    </w:p>
    <w:p w14:paraId="5E5F9DD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7E79462E-31D5-4BB7-9218-344AD7B15D5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6C39C2D-5EE2-4537-890C-2478D5978EF3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772D2803-1246-4B0D-8937-EC6F78CA871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76F1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2026-05-28T09:40:17Z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